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E9" w:rsidRPr="009B6B2B" w:rsidRDefault="00565DE9" w:rsidP="00565DE9">
      <w:pPr>
        <w:rPr>
          <w:i/>
        </w:rPr>
      </w:pPr>
      <w:bookmarkStart w:id="0" w:name="_GoBack"/>
      <w:bookmarkEnd w:id="0"/>
    </w:p>
    <w:tbl>
      <w:tblPr>
        <w:tblStyle w:val="1-62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8"/>
        <w:gridCol w:w="6318"/>
      </w:tblGrid>
      <w:tr w:rsidR="00565DE9" w:rsidRPr="00E85DB3" w:rsidTr="00DC4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shd w:val="clear" w:color="auto" w:fill="C1EDFC"/>
            <w:noWrap/>
            <w:vAlign w:val="center"/>
            <w:hideMark/>
          </w:tcPr>
          <w:p w:rsidR="00565DE9" w:rsidRPr="00E85DB3" w:rsidRDefault="00565DE9" w:rsidP="00DC42E6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808" w:type="pct"/>
            <w:shd w:val="clear" w:color="auto" w:fill="C1EDFC"/>
            <w:noWrap/>
            <w:vAlign w:val="center"/>
            <w:hideMark/>
          </w:tcPr>
          <w:p w:rsidR="00565DE9" w:rsidRPr="00E85DB3" w:rsidRDefault="00565DE9" w:rsidP="00DC42E6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proofErr w:type="spellStart"/>
            <w:r w:rsidRPr="00E85DB3">
              <w:rPr>
                <w:rFonts w:cs="Calibri"/>
                <w:lang w:eastAsia="el-GR"/>
              </w:rPr>
              <w:t>Μεταδεδομένα</w:t>
            </w:r>
            <w:proofErr w:type="spellEnd"/>
            <w:r w:rsidRPr="00E85DB3">
              <w:rPr>
                <w:rFonts w:cs="Calibri"/>
                <w:lang w:eastAsia="el-GR"/>
              </w:rPr>
              <w:t xml:space="preserve"> δείκτη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Κωδικός δείκτη</w:t>
            </w:r>
          </w:p>
        </w:tc>
        <w:tc>
          <w:tcPr>
            <w:tcW w:w="3808" w:type="pct"/>
            <w:tcBorders>
              <w:top w:val="single" w:sz="2" w:space="0" w:color="45CBF5"/>
              <w:left w:val="nil"/>
              <w:bottom w:val="single" w:sz="2" w:space="0" w:color="45CBF5"/>
              <w:right w:val="single" w:sz="2" w:space="0" w:color="45CBF5"/>
            </w:tcBorders>
            <w:shd w:val="clear" w:color="auto" w:fill="auto"/>
            <w:noWrap/>
            <w:vAlign w:val="center"/>
            <w:hideMark/>
          </w:tcPr>
          <w:p w:rsidR="00565DE9" w:rsidRPr="00E85DB3" w:rsidRDefault="00565DE9" w:rsidP="00DC42E6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/>
                <w:color w:val="000000"/>
              </w:rPr>
              <w:t>PSO796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Ονομασία δείκτη</w:t>
            </w:r>
          </w:p>
        </w:tc>
        <w:tc>
          <w:tcPr>
            <w:tcW w:w="3808" w:type="pct"/>
            <w:tcBorders>
              <w:top w:val="single" w:sz="2" w:space="0" w:color="45CBF5"/>
              <w:left w:val="nil"/>
              <w:bottom w:val="single" w:sz="4" w:space="0" w:color="45CBF5"/>
              <w:right w:val="single" w:sz="2" w:space="0" w:color="45CBF5"/>
            </w:tcBorders>
            <w:shd w:val="clear" w:color="auto" w:fill="auto"/>
            <w:vAlign w:val="center"/>
          </w:tcPr>
          <w:p w:rsidR="00565DE9" w:rsidRPr="00E85DB3" w:rsidRDefault="00565DE9" w:rsidP="00DC42E6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b/>
                <w:color w:val="000000"/>
                <w:lang w:eastAsia="el-GR"/>
              </w:rPr>
              <w:t>αριθμός συνεχιζόμενων κοινωνικών δομών που υποστηρίζονται</w:t>
            </w:r>
            <w:r w:rsidRPr="00E85DB3">
              <w:rPr>
                <w:rFonts w:cs="Calibri"/>
                <w:b/>
                <w:color w:val="000000"/>
                <w:vertAlign w:val="superscript"/>
                <w:lang w:eastAsia="el-GR"/>
              </w:rPr>
              <w:footnoteReference w:id="1"/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Ορισμός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Ως «συνεχιζόμενες κοινωνικές δομές» εννοούνται οι κάτωθι δομές που συγχρηματοδοτήθηκαν από το ΕΚΤ την ΠΠ 2014-2020 και συνεχίζουν να ενισχύονται/ συγχρηματοδοτούνται από το ΕΚΤ+ την ΠΠ 2021-2027: </w:t>
            </w:r>
          </w:p>
          <w:p w:rsidR="00565DE9" w:rsidRPr="00E85DB3" w:rsidRDefault="00565DE9" w:rsidP="00565DE9">
            <w:pPr>
              <w:numPr>
                <w:ilvl w:val="0"/>
                <w:numId w:val="2"/>
              </w:numPr>
              <w:spacing w:before="60" w:after="60"/>
              <w:ind w:left="593" w:hanging="283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Κέντρα Κοινότητας (ΚΚ). (Τα Παραρτήματα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Ρομά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, τα ΚΕΜ και οι κινητές μονάδες των ΚΚ δεν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μετρώνται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ως διακριτές δομές στο δείκτη)</w:t>
            </w:r>
          </w:p>
          <w:p w:rsidR="00565DE9" w:rsidRPr="00E85DB3" w:rsidRDefault="00565DE9" w:rsidP="00565DE9">
            <w:pPr>
              <w:numPr>
                <w:ilvl w:val="0"/>
                <w:numId w:val="2"/>
              </w:numPr>
              <w:spacing w:before="60" w:after="60"/>
              <w:ind w:left="593" w:hanging="283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Στέγες Υποστηριζόμενης Διαβίωσης (ΣΥΔ) </w:t>
            </w:r>
            <w:r w:rsidRPr="00E85DB3">
              <w:rPr>
                <w:rFonts w:cs="Calibri"/>
                <w:bCs/>
                <w:lang w:eastAsia="el-GR"/>
              </w:rPr>
              <w:t>ατόμων με αναπηρίες</w:t>
            </w:r>
          </w:p>
          <w:p w:rsidR="00565DE9" w:rsidRPr="00E85DB3" w:rsidRDefault="00565DE9" w:rsidP="00565DE9">
            <w:pPr>
              <w:numPr>
                <w:ilvl w:val="0"/>
                <w:numId w:val="2"/>
              </w:numPr>
              <w:spacing w:before="60" w:after="60"/>
              <w:ind w:left="593" w:hanging="283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>Κέντρα Διημέρευσης Ημερήσιας Φροντίδας (ΚΔΗΦ),</w:t>
            </w:r>
          </w:p>
          <w:p w:rsidR="00565DE9" w:rsidRPr="00E85DB3" w:rsidRDefault="00565DE9" w:rsidP="00565DE9">
            <w:pPr>
              <w:numPr>
                <w:ilvl w:val="0"/>
                <w:numId w:val="2"/>
              </w:numPr>
              <w:spacing w:before="60" w:after="60"/>
              <w:ind w:left="593" w:hanging="283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>Δομές παροχής βασικών αγαθών (Κοινωνικά παντοπωλεία, φαρμακεία, συσσίτια),</w:t>
            </w:r>
          </w:p>
          <w:p w:rsidR="00565DE9" w:rsidRPr="00E85DB3" w:rsidRDefault="00565DE9" w:rsidP="00565DE9">
            <w:pPr>
              <w:numPr>
                <w:ilvl w:val="0"/>
                <w:numId w:val="2"/>
              </w:numPr>
              <w:spacing w:before="60" w:after="60"/>
              <w:ind w:left="593" w:hanging="283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>Δομές κακοποιημένων γυναικών (ξενώνες και συμβουλευτικά κέντρα), και</w:t>
            </w:r>
          </w:p>
          <w:p w:rsidR="00565DE9" w:rsidRPr="00E85DB3" w:rsidRDefault="00565DE9" w:rsidP="00565DE9">
            <w:pPr>
              <w:numPr>
                <w:ilvl w:val="0"/>
                <w:numId w:val="2"/>
              </w:numPr>
              <w:spacing w:before="60" w:after="60"/>
              <w:ind w:left="593" w:hanging="283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>Κέντρα Ημερήσιας Φροντίδας Ηλικιωμένων (ΚΗΦΗ).</w:t>
            </w:r>
          </w:p>
          <w:p w:rsidR="00565DE9" w:rsidRPr="00E85DB3" w:rsidRDefault="00565DE9" w:rsidP="00DC42E6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Η κάθε δομή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μετράται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μία φορά στο επίπεδο της πράξης και λαμβάνει την τιμή 1 με την απόφαση ένταξης της Πράξης.</w:t>
            </w:r>
          </w:p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bookmarkStart w:id="1" w:name="_Hlk107332804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Σε περιπτώσεις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συλλειτουργίας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ενιαίας δομής κοινωνικού παντοπωλείου και συσσιτίου, η τιμή του δείκτη στις αντίστοιχες πράξεις θα πρέπει να είναι 1 (δηλ. το συσσίτιο και το παντοπωλείο θεωρούνται 1 δομή). Δεν έχει σημασία αν το συσσίτιο και το παντοπωλείο συστεγάζονται στο ίδιο οίκημα ή βρίσκονται σε διαφορετικούς χώρους/κτίρια. Για τη μεθοδολογία μέτρησης του δείκτη, κάθε συλλειτουργούσα δομή είναι 1 δομή. Σε όλες τις άλλες περιπτώσεις πράξεων που οι δομές συσσιτίων και παντοπωλείων είναι διακριτές δομές, και άρα είτε εντάσσονται σε ξεχωριστές πράξεις  είτε σε διαφορετικά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υποέργα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στο πλαίσιο της ίδιας πράξης,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μετρώνται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ως ξεχωριστές δομές στο δείκτη.</w:t>
            </w:r>
          </w:p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Εννοείται πως τα κοινωνικά φαρμακεία είναι διακριτές δομές επίσης. Π.χ. σε μία πράξη που έχει 1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υποέργο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κοινωνικό φαρμακείο και 1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υποέργο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 xml:space="preserve"> συλλειτουργούσα δομή συσσίτιο/παντοπωλείο, ο δείκτης θα πρέπει να λάβει τιμή 2 (1 φαρμακείο και 1 συλλειτουργούσα δομή συσσιτίου/παντοπωλείου). Σε πράξη που έχει 3 διαφορετικές δομές (φαρμακείο, συσσίτιο , παντοπωλείο), ο δείκτης θα πρέπει να λάβει τιμή 3. Δεν έχει σημασία ο αριθμός των </w:t>
            </w:r>
            <w:proofErr w:type="spellStart"/>
            <w:r w:rsidRPr="00E85DB3">
              <w:rPr>
                <w:rFonts w:cs="Calibri"/>
                <w:bCs/>
                <w:color w:val="000000"/>
                <w:lang w:eastAsia="el-GR"/>
              </w:rPr>
              <w:t>υποέργων</w:t>
            </w:r>
            <w:proofErr w:type="spellEnd"/>
            <w:r w:rsidRPr="00E85DB3">
              <w:rPr>
                <w:rFonts w:cs="Calibri"/>
                <w:bCs/>
                <w:color w:val="000000"/>
                <w:lang w:eastAsia="el-GR"/>
              </w:rPr>
              <w:t>.</w:t>
            </w:r>
            <w:bookmarkEnd w:id="1"/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>Αριθμός δομών</w:t>
            </w:r>
            <w:r w:rsidRPr="00E85DB3">
              <w:rPr>
                <w:rFonts w:cs="Calibri"/>
                <w:color w:val="000000"/>
                <w:lang w:val="en-US"/>
              </w:rPr>
              <w:t xml:space="preserve"> (</w:t>
            </w:r>
            <w:r w:rsidRPr="00E85DB3">
              <w:rPr>
                <w:rFonts w:cs="Calibri"/>
                <w:color w:val="000000"/>
              </w:rPr>
              <w:t>οντότητες)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Στόχος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120" w:after="120"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Είναι η τιμή που αναμένεται στο τέλος της προγραμματικής περιόδου. Εντός του 2024 θα επανεξεταστεί η λειτουργία και συγχρηματοδότηση των κοινωνικών δομών, υπό το πρίσμα ενός σχεδίου βιωσιμότητας για τη σταδιακή έξοδο  από τη συγχρηματοδότηση από το ΕΚΤ+. Αλλαγές που θα προκύψουν από την ανωτέρω διαδικασία θα αποτυπωθούν στην Ενδιάμεση Αναθεώρηση του Προγράμματος το 2025».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Τιμή Βάσης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>0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lastRenderedPageBreak/>
              <w:t>Κατηγοριοποίηση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>Ανά κατηγορία περιφέρειας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Τεκμηρίωση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 xml:space="preserve">Για την αναφορά  του τρόπου με τον οποίο το ΕΚΤ+ συμβάλλει στο στόχο που ορίζεται στη συνθήκη για την ΕΕ (αρθρ.162) και για την εφαρμογή της αρχής 3 “Ίσες ευκαιρίες”, της αρχής 11 “Φροντίδα και υποστήριξη των παιδιών”, της αρχής 11 </w:t>
            </w:r>
            <w:r w:rsidRPr="00E85DB3">
              <w:rPr>
                <w:rFonts w:cs="Calibri"/>
              </w:rPr>
              <w:t xml:space="preserve"> “</w:t>
            </w:r>
            <w:r w:rsidRPr="00E85DB3">
              <w:rPr>
                <w:rFonts w:cs="Calibri"/>
                <w:color w:val="000000"/>
              </w:rPr>
              <w:t>Ένταξη ατόμων με αναπηρία”, της αρχής 14 “Ελάχιστο εγγυημένο εισόδημα”, της αρχής 17 “Ένταξη ατόμων με αναπηρία”, της αρχής 18 “Μακροχρόνια φροντίδα” και της αρχής 20 “</w:t>
            </w:r>
            <w:r w:rsidRPr="00E85DB3">
              <w:rPr>
                <w:rFonts w:cs="Calibri"/>
              </w:rPr>
              <w:t xml:space="preserve"> </w:t>
            </w:r>
            <w:r w:rsidRPr="00E85DB3">
              <w:rPr>
                <w:rFonts w:cs="Calibri"/>
                <w:color w:val="000000"/>
              </w:rPr>
              <w:t>Πρόσβαση σε βασικές υπηρεσίες” του Ευρωπαϊκού Πυλώνα Κοινωνικών Δικαιωμάτων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Συλλογή δεδομένων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 xml:space="preserve">Η πληροφορία για το δείκτη θα συλλέγεται από τα συστήματα συλλογής δεδομένων των δικαιούχων έως τη λειτουργία του Ενιαίου </w:t>
            </w:r>
            <w:proofErr w:type="spellStart"/>
            <w:r w:rsidRPr="00E85DB3">
              <w:rPr>
                <w:rFonts w:cs="Calibri"/>
                <w:color w:val="000000"/>
              </w:rPr>
              <w:t>Γεωπληροφοριακού</w:t>
            </w:r>
            <w:proofErr w:type="spellEnd"/>
            <w:r w:rsidRPr="00E85DB3">
              <w:rPr>
                <w:rFonts w:cs="Calibri"/>
                <w:color w:val="000000"/>
              </w:rPr>
              <w:t xml:space="preserve"> Συστήματος (Ε.ΓΠ.Σ) του Εθνικού Μηχανισμού Συντονισμού, Παρακολούθησης και Αξιολόγησης των Πολιτικών Κοινωνικής Ένταξης και Κοινωνικής Συνοχής.</w:t>
            </w:r>
          </w:p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>O δείκτης λαμβάνει τιμή κατά την έναρξη υλοποίησης της πράξης στην οποία υποστηρίζεται η κοινωνική δομή που μετρά.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Συχνότητα αναφοράς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Δύο φορές ετησίως, τέλος Ιανουαρίου και τέλος Ιουλίου, ξεκινώντας από 31.1.2022 και έως το 2030.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Σύνδεση με δείκτες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vAlign w:val="center"/>
          </w:tcPr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E85DB3">
              <w:rPr>
                <w:rFonts w:cs="Calibri"/>
                <w:color w:val="000000"/>
              </w:rPr>
              <w:t xml:space="preserve">Στις παρεμβάσεις/πράξεις που αφορούν δομές του δημόσιου τομέα, ο δείκτης </w:t>
            </w:r>
            <w:r w:rsidRPr="00E85DB3">
              <w:rPr>
                <w:rFonts w:cs="Calibri"/>
                <w:color w:val="000000"/>
                <w:lang w:val="en-US"/>
              </w:rPr>
              <w:t>PSO</w:t>
            </w:r>
            <w:r w:rsidRPr="00E85DB3">
              <w:rPr>
                <w:rFonts w:cs="Calibri"/>
                <w:color w:val="000000"/>
              </w:rPr>
              <w:t xml:space="preserve">796 έχει την ίδια τιμή με τον </w:t>
            </w:r>
            <w:r w:rsidRPr="00E85DB3">
              <w:rPr>
                <w:rFonts w:cs="Calibri"/>
                <w:color w:val="000000"/>
                <w:lang w:val="en-US"/>
              </w:rPr>
              <w:t>EECO</w:t>
            </w:r>
            <w:r w:rsidRPr="00E85DB3">
              <w:rPr>
                <w:rFonts w:cs="Calibri"/>
                <w:color w:val="000000"/>
              </w:rPr>
              <w:t>18</w:t>
            </w:r>
          </w:p>
        </w:tc>
      </w:tr>
      <w:tr w:rsidR="00565DE9" w:rsidRPr="00E85DB3" w:rsidTr="00DC42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565DE9" w:rsidRPr="00E85DB3" w:rsidRDefault="00565DE9" w:rsidP="00DC42E6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E85DB3">
              <w:rPr>
                <w:rFonts w:cs="Calibri"/>
                <w:color w:val="000000"/>
                <w:lang w:eastAsia="el-GR"/>
              </w:rPr>
              <w:t>Επικύρωση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:rsidR="00565DE9" w:rsidRPr="00E85DB3" w:rsidRDefault="00565DE9" w:rsidP="00DC42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</w:tbl>
    <w:p w:rsidR="00626551" w:rsidRDefault="00E16BFC"/>
    <w:sectPr w:rsidR="006265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DE9" w:rsidRDefault="00565DE9" w:rsidP="00565DE9">
      <w:pPr>
        <w:spacing w:after="0" w:line="240" w:lineRule="auto"/>
      </w:pPr>
      <w:r>
        <w:separator/>
      </w:r>
    </w:p>
  </w:endnote>
  <w:endnote w:type="continuationSeparator" w:id="0">
    <w:p w:rsidR="00565DE9" w:rsidRDefault="00565DE9" w:rsidP="0056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DE9" w:rsidRDefault="00565DE9" w:rsidP="00565DE9">
      <w:pPr>
        <w:spacing w:after="0" w:line="240" w:lineRule="auto"/>
      </w:pPr>
      <w:r>
        <w:separator/>
      </w:r>
    </w:p>
  </w:footnote>
  <w:footnote w:type="continuationSeparator" w:id="0">
    <w:p w:rsidR="00565DE9" w:rsidRDefault="00565DE9" w:rsidP="00565DE9">
      <w:pPr>
        <w:spacing w:after="0" w:line="240" w:lineRule="auto"/>
      </w:pPr>
      <w:r>
        <w:continuationSeparator/>
      </w:r>
    </w:p>
  </w:footnote>
  <w:footnote w:id="1">
    <w:p w:rsidR="00565DE9" w:rsidRPr="006326B4" w:rsidRDefault="00565DE9" w:rsidP="00565DE9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lang w:val="en-US"/>
        </w:rPr>
        <w:t>O</w:t>
      </w:r>
      <w:r w:rsidRPr="006326B4">
        <w:t xml:space="preserve"> </w:t>
      </w:r>
      <w:r>
        <w:t xml:space="preserve">δείκτης μετρά τις δομές με το ισχύον θεσμικό πλαίσιο. Οποιαδήποτε αλλαγή επέλθει θα επηρεάσει το είδος των δομών που θα καλύπτει και τον τρόπο μέτρησής τους.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10359"/>
    <w:multiLevelType w:val="hybridMultilevel"/>
    <w:tmpl w:val="B72E0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42D00"/>
    <w:multiLevelType w:val="multilevel"/>
    <w:tmpl w:val="078CE53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F15A45"/>
    <w:multiLevelType w:val="multilevel"/>
    <w:tmpl w:val="62723CC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E9"/>
    <w:rsid w:val="00565DE9"/>
    <w:rsid w:val="008E670D"/>
    <w:rsid w:val="00E16BFC"/>
    <w:rsid w:val="00E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2FCF"/>
  <w15:chartTrackingRefBased/>
  <w15:docId w15:val="{552006AC-33E2-4AB2-B6EE-1C265756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DE9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565DE9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5DE9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565DE9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65DE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565DE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65DE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65DE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65DE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65DE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65DE9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565DE9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565DE9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565DE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565DE9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565DE9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565DE9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565DE9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565DE9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3">
    <w:name w:val="footnote text"/>
    <w:basedOn w:val="a"/>
    <w:link w:val="Char"/>
    <w:uiPriority w:val="99"/>
    <w:semiHidden/>
    <w:unhideWhenUsed/>
    <w:rsid w:val="00565DE9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565DE9"/>
    <w:rPr>
      <w:rFonts w:ascii="Calibri" w:eastAsia="Times New Roman" w:hAnsi="Calibri" w:cs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565DE9"/>
    <w:rPr>
      <w:vertAlign w:val="superscript"/>
    </w:rPr>
  </w:style>
  <w:style w:type="table" w:customStyle="1" w:styleId="1-62">
    <w:name w:val="Πίνακας 1 με ανοιχτόχρωμο πλέγμα - Έμφαση 62"/>
    <w:basedOn w:val="a1"/>
    <w:uiPriority w:val="46"/>
    <w:rsid w:val="00565DE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ΦΕΛΟΥΚΑΣ ΓΕΩΡΓΙΟΣ</cp:lastModifiedBy>
  <cp:revision>2</cp:revision>
  <dcterms:created xsi:type="dcterms:W3CDTF">2023-02-01T09:23:00Z</dcterms:created>
  <dcterms:modified xsi:type="dcterms:W3CDTF">2023-02-01T09:26:00Z</dcterms:modified>
</cp:coreProperties>
</file>